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C0" w:rsidRDefault="000939C0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</w:p>
    <w:p w:rsidR="000939C0" w:rsidRDefault="000939C0" w:rsidP="000939C0">
      <w:pPr>
        <w:autoSpaceDE w:val="0"/>
        <w:autoSpaceDN w:val="0"/>
        <w:bidi w:val="0"/>
        <w:adjustRightInd w:val="0"/>
        <w:spacing w:after="0"/>
        <w:jc w:val="center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noProof/>
          <w:sz w:val="23"/>
          <w:szCs w:val="23"/>
          <w:lang w:bidi="ar-SA"/>
        </w:rPr>
        <w:drawing>
          <wp:inline distT="0" distB="0" distL="0" distR="0">
            <wp:extent cx="1143000" cy="1362075"/>
            <wp:effectExtent l="0" t="0" r="0" b="9525"/>
            <wp:docPr id="2" name="Picture 2" descr="C:\Users\m\Dropbox\Askarian- Jafari\تحصیلات تکمیلی\ghanbari\ak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ropbox\Askarian- Jafari\تحصیلات تکمیلی\ghanbari\ak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F32" w:rsidRDefault="00731F32" w:rsidP="000939C0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CURRICULUM VITAE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PERSONAL HISTORY: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Name: amir ghanbari Hassan abad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bookmarkStart w:id="0" w:name="_GoBack"/>
      <w:bookmarkEnd w:id="0"/>
      <w:r>
        <w:rPr>
          <w:rFonts w:ascii="BookAntiqua" w:hAnsi="BookAntiqua" w:cs="BookAntiqua"/>
          <w:sz w:val="23"/>
          <w:szCs w:val="23"/>
        </w:rPr>
        <w:t>Contact information: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amir ghanbari, anatomy Department,</w:t>
      </w:r>
    </w:p>
    <w:p w:rsidR="00731F32" w:rsidRDefault="00731F32" w:rsidP="00A53D84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 xml:space="preserve">Medical School, </w:t>
      </w:r>
      <w:proofErr w:type="spellStart"/>
      <w:r w:rsidR="00A53D84">
        <w:rPr>
          <w:rFonts w:ascii="BookAntiqua" w:hAnsi="BookAntiqua" w:cs="BookAntiqua"/>
          <w:sz w:val="23"/>
          <w:szCs w:val="23"/>
        </w:rPr>
        <w:t>yasuj</w:t>
      </w:r>
      <w:proofErr w:type="spellEnd"/>
      <w:r>
        <w:rPr>
          <w:rFonts w:ascii="BookAntiqua" w:hAnsi="BookAntiqua" w:cs="BookAntiqua"/>
          <w:sz w:val="23"/>
          <w:szCs w:val="23"/>
        </w:rPr>
        <w:t xml:space="preserve"> University of Medical Science,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E-mail: amirghanbari52@yahoo.com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EDUCATIONS &amp; DEGREES: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B.Sc. in Nursing, yasuj University of Medical Science, yasuj, 1993-1997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M.Sc. in Anatomy, Shiraz University of Medical Science, Shiraz, 2002-2005</w:t>
      </w:r>
    </w:p>
    <w:p w:rsidR="00DF2ACC" w:rsidRDefault="00596AD3" w:rsidP="00DF2ACC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P</w:t>
      </w:r>
      <w:r w:rsidR="00DF2ACC">
        <w:rPr>
          <w:rFonts w:ascii="BookAntiqua-Bold" w:hAnsi="BookAntiqua-Bold" w:cs="BookAntiqua-Bold"/>
          <w:b/>
          <w:bCs/>
          <w:sz w:val="23"/>
          <w:szCs w:val="23"/>
        </w:rPr>
        <w:t xml:space="preserve">HD in </w:t>
      </w:r>
      <w:r w:rsidR="00DF2ACC">
        <w:rPr>
          <w:rFonts w:ascii="BookAntiqua" w:hAnsi="BookAntiqua" w:cs="BookAntiqua"/>
          <w:sz w:val="23"/>
          <w:szCs w:val="23"/>
        </w:rPr>
        <w:t>Anatomy, Shiraz University of Medical Science, Shiraz, 2010-2015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Experiences: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Staff nurse in Emergency room. CCU,surgical ward, yasuj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Head nurse of Emergency room, yasuj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Supervisor of beheshti hospital, yasuj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Instructor of anatomy,</w:t>
      </w:r>
      <w:r w:rsidR="00DF2ACC">
        <w:rPr>
          <w:rFonts w:ascii="BookAntiqua" w:hAnsi="BookAntiqua" w:cs="BookAntiqua"/>
          <w:sz w:val="23"/>
          <w:szCs w:val="23"/>
        </w:rPr>
        <w:t xml:space="preserve"> embryology and histology </w:t>
      </w:r>
      <w:r>
        <w:rPr>
          <w:rFonts w:ascii="BookAntiqua" w:hAnsi="BookAntiqua" w:cs="BookAntiqua"/>
          <w:sz w:val="23"/>
          <w:szCs w:val="23"/>
        </w:rPr>
        <w:t xml:space="preserve"> yasuj Medical School, 2006</w:t>
      </w:r>
    </w:p>
    <w:p w:rsidR="00731F32" w:rsidRDefault="00A53D84" w:rsidP="00A53D84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proofErr w:type="spellStart"/>
      <w:r w:rsidRPr="00A53D84">
        <w:rPr>
          <w:rFonts w:ascii="BookAntiqua-Bold" w:hAnsi="BookAntiqua-Bold" w:cs="BookAntiqua-Bold"/>
          <w:sz w:val="23"/>
          <w:szCs w:val="23"/>
        </w:rPr>
        <w:t>Faculity</w:t>
      </w:r>
      <w:proofErr w:type="spellEnd"/>
      <w:r w:rsidRPr="00A53D84">
        <w:rPr>
          <w:rFonts w:ascii="BookAntiqua-Bold" w:hAnsi="BookAntiqua-Bold" w:cs="BookAntiqua-Bold"/>
          <w:sz w:val="23"/>
          <w:szCs w:val="23"/>
        </w:rPr>
        <w:t xml:space="preserve"> member of </w:t>
      </w:r>
      <w:proofErr w:type="spellStart"/>
      <w:r w:rsidRPr="00A53D84">
        <w:rPr>
          <w:rFonts w:ascii="BookAntiqua-Bold" w:hAnsi="BookAntiqua-Bold" w:cs="BookAntiqua-Bold"/>
          <w:sz w:val="23"/>
          <w:szCs w:val="23"/>
        </w:rPr>
        <w:t>yasuj</w:t>
      </w:r>
      <w:proofErr w:type="spellEnd"/>
      <w:r>
        <w:rPr>
          <w:rFonts w:ascii="BookAntiqua-Bold" w:hAnsi="BookAntiqua-Bold" w:cs="BookAntiqua-Bold"/>
          <w:b/>
          <w:bCs/>
          <w:sz w:val="23"/>
          <w:szCs w:val="23"/>
        </w:rPr>
        <w:t xml:space="preserve"> </w:t>
      </w:r>
      <w:r>
        <w:rPr>
          <w:rFonts w:ascii="BookAntiqua" w:hAnsi="BookAntiqua" w:cs="BookAntiqua"/>
          <w:sz w:val="23"/>
          <w:szCs w:val="23"/>
        </w:rPr>
        <w:t>University of Medical Science</w:t>
      </w:r>
      <w:r>
        <w:rPr>
          <w:rFonts w:ascii="BookAntiqua-Bold" w:hAnsi="BookAntiqua-Bold" w:cs="BookAntiqua-Bold"/>
          <w:b/>
          <w:bCs/>
          <w:sz w:val="23"/>
          <w:szCs w:val="23"/>
        </w:rPr>
        <w:t xml:space="preserve"> 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Research activities:</w:t>
      </w:r>
    </w:p>
    <w:p w:rsidR="00731F32" w:rsidRDefault="00731F32" w:rsidP="00596AD3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>Brain research, tracing, steriology study, neural stem cell</w:t>
      </w:r>
      <w:r w:rsidR="00596AD3">
        <w:rPr>
          <w:rFonts w:ascii="BookAntiqua" w:hAnsi="BookAntiqua" w:cs="BookAntiqua"/>
          <w:sz w:val="23"/>
          <w:szCs w:val="23"/>
        </w:rPr>
        <w:t xml:space="preserve"> </w:t>
      </w:r>
      <w:proofErr w:type="gramStart"/>
      <w:r w:rsidR="00596AD3">
        <w:rPr>
          <w:rFonts w:ascii="BookAntiqua" w:hAnsi="BookAntiqua" w:cs="BookAntiqua"/>
          <w:sz w:val="23"/>
          <w:szCs w:val="23"/>
        </w:rPr>
        <w:t>culture ,</w:t>
      </w:r>
      <w:proofErr w:type="gramEnd"/>
      <w:r w:rsidR="00596AD3">
        <w:rPr>
          <w:rFonts w:ascii="BookAntiqua" w:hAnsi="BookAntiqua" w:cs="BookAntiqua"/>
          <w:sz w:val="23"/>
          <w:szCs w:val="23"/>
        </w:rPr>
        <w:t xml:space="preserve"> immunohistochemistry , immunocytochemistry</w:t>
      </w:r>
      <w:r w:rsidR="00A53D84">
        <w:rPr>
          <w:rFonts w:ascii="BookAntiqua" w:hAnsi="BookAntiqua" w:cs="BookAntiqua"/>
          <w:sz w:val="23"/>
          <w:szCs w:val="23"/>
        </w:rPr>
        <w:t xml:space="preserve"> and</w:t>
      </w:r>
      <w:r w:rsidR="00596AD3">
        <w:rPr>
          <w:rFonts w:ascii="BookAntiqua" w:hAnsi="BookAntiqua" w:cs="BookAntiqua"/>
          <w:sz w:val="23"/>
          <w:szCs w:val="23"/>
        </w:rPr>
        <w:t xml:space="preserve"> MS model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Teaching experience:</w:t>
      </w:r>
    </w:p>
    <w:p w:rsidR="00731F32" w:rsidRDefault="00731F32" w:rsidP="00596AD3">
      <w:pPr>
        <w:autoSpaceDE w:val="0"/>
        <w:autoSpaceDN w:val="0"/>
        <w:bidi w:val="0"/>
        <w:adjustRightInd w:val="0"/>
        <w:spacing w:after="0"/>
        <w:rPr>
          <w:rFonts w:ascii="BookAntiqua" w:hAnsi="BookAntiqua" w:cs="BookAntiqua"/>
          <w:sz w:val="23"/>
          <w:szCs w:val="23"/>
        </w:rPr>
      </w:pPr>
      <w:r>
        <w:rPr>
          <w:rFonts w:ascii="BookAntiqua" w:hAnsi="BookAntiqua" w:cs="BookAntiqua"/>
          <w:sz w:val="23"/>
          <w:szCs w:val="23"/>
        </w:rPr>
        <w:t xml:space="preserve">Anatomy, histology and embryology for medical, paramedical student, </w:t>
      </w:r>
      <w:r w:rsidR="00596AD3">
        <w:rPr>
          <w:rFonts w:ascii="BookAntiqua" w:hAnsi="BookAntiqua" w:cs="BookAntiqua"/>
          <w:sz w:val="23"/>
          <w:szCs w:val="23"/>
        </w:rPr>
        <w:t xml:space="preserve"> Shiraz fasa and </w:t>
      </w:r>
      <w:r>
        <w:rPr>
          <w:rFonts w:ascii="BookAntiqua" w:hAnsi="BookAntiqua" w:cs="BookAntiqua"/>
          <w:sz w:val="23"/>
          <w:szCs w:val="23"/>
        </w:rPr>
        <w:t xml:space="preserve">yasuj </w:t>
      </w:r>
      <w:r w:rsidR="00596AD3">
        <w:rPr>
          <w:rFonts w:ascii="BookAntiqua" w:hAnsi="BookAntiqua" w:cs="BookAntiqua"/>
          <w:sz w:val="23"/>
          <w:szCs w:val="23"/>
        </w:rPr>
        <w:t xml:space="preserve">university of </w:t>
      </w:r>
      <w:r>
        <w:rPr>
          <w:rFonts w:ascii="BookAntiqua" w:hAnsi="BookAntiqua" w:cs="BookAntiqua"/>
          <w:sz w:val="23"/>
          <w:szCs w:val="23"/>
        </w:rPr>
        <w:t>Medical</w:t>
      </w:r>
      <w:r w:rsidR="00596AD3">
        <w:rPr>
          <w:rFonts w:ascii="BookAntiqua" w:hAnsi="BookAntiqua" w:cs="BookAntiqua"/>
          <w:sz w:val="23"/>
          <w:szCs w:val="23"/>
        </w:rPr>
        <w:t xml:space="preserve"> Science,</w:t>
      </w:r>
      <w:r>
        <w:rPr>
          <w:rFonts w:ascii="BookAntiqua" w:hAnsi="BookAntiqua" w:cs="BookAntiqua"/>
          <w:sz w:val="23"/>
          <w:szCs w:val="23"/>
        </w:rPr>
        <w:t xml:space="preserve"> 2006</w:t>
      </w:r>
      <w:r w:rsidR="00596AD3">
        <w:rPr>
          <w:rFonts w:ascii="BookAntiqua" w:hAnsi="BookAntiqua" w:cs="BookAntiqua"/>
          <w:sz w:val="23"/>
          <w:szCs w:val="23"/>
        </w:rPr>
        <w:t xml:space="preserve"> until now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" w:hAnsi="BookAntiqua-Bold" w:cs="BookAntiqua-Bold"/>
          <w:b/>
          <w:bCs/>
          <w:sz w:val="23"/>
          <w:szCs w:val="23"/>
        </w:rPr>
      </w:pPr>
      <w:r>
        <w:rPr>
          <w:rFonts w:ascii="BookAntiqua-Bold" w:hAnsi="BookAntiqua-Bold" w:cs="BookAntiqua-Bold"/>
          <w:b/>
          <w:bCs/>
          <w:sz w:val="23"/>
          <w:szCs w:val="23"/>
        </w:rPr>
        <w:t>Publication:</w:t>
      </w:r>
    </w:p>
    <w:p w:rsidR="00731F32" w:rsidRPr="00BB0BF5" w:rsidRDefault="00731F32" w:rsidP="00BB0BF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MSc thesis, Communication between external and recurrent laryngeal nerves in human</w:t>
      </w:r>
      <w:r w:rsidR="00BB0BF5"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By using dissection method &amp; dog by tracing HRP, Shiraz University of</w:t>
      </w:r>
      <w:r w:rsidR="00BB0BF5"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Medical Science, Shiraz, 2004-2005</w:t>
      </w:r>
    </w:p>
    <w:p w:rsidR="00731F32" w:rsidRPr="00BB0BF5" w:rsidRDefault="00731F32" w:rsidP="00BB0BF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PhD thesis with entitle " Optimizing the Elimination of Bona Fide Neural Stem Cells in Subventricular Zone Of Adult Mouse Brain Using Antimitotic Drug Ara-C" Shiraz University of Medical Science, Shiraz, 2012-2015</w:t>
      </w:r>
    </w:p>
    <w:p w:rsidR="00596AD3" w:rsidRPr="00BB0BF5" w:rsidRDefault="00596AD3" w:rsidP="00BB0BF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lastRenderedPageBreak/>
        <w:t>compiled and edietion  of  "</w:t>
      </w:r>
      <w:r w:rsidR="00731F32"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Histology book </w:t>
      </w:r>
      <w:r w:rsidRPr="00BB0BF5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for paramedical ,rehabilitation, pharmacy and obstetrics student " farzaneh dehghani ,amir ghanbari and mohamad amin abdollahifar " publication of Shiraz University of Medical Science, Shiraz, 2015</w:t>
      </w:r>
    </w:p>
    <w:p w:rsidR="00731F32" w:rsidRDefault="00731F32" w:rsidP="00596AD3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Research projects:</w:t>
      </w:r>
    </w:p>
    <w:p w:rsidR="00731F32" w:rsidRPr="00DF2ACC" w:rsidRDefault="00731F32" w:rsidP="00DF2AC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DF2AC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Mesbah F, Namavar MR, Khademi B, Karbalaei-Doust S, Ghanbari GH.Anatomical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Connection between external and recurrent laryngeal nerve in adult dog using HRP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Technique. 23/8/83-2202.</w:t>
      </w:r>
    </w:p>
    <w:p w:rsidR="00731F32" w:rsidRPr="00DF2ACC" w:rsidRDefault="00731F32" w:rsidP="00DF2AC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DF2AC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Mesbah F, Namavar MR, Khademi B, Karbalaei-doust S, Ghanbari GH.Anatomical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Connection between external and recurrent laryngeal nerve in human and adult dog. 7/2/</w:t>
      </w:r>
    </w:p>
    <w:p w:rsidR="00731F32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83-2037.</w:t>
      </w:r>
    </w:p>
    <w:p w:rsidR="00731F32" w:rsidRDefault="00731F32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بررسی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اثر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عصاره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خنجک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بر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سيستم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ايمنی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ھومرال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موش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صحرايی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نر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٨٧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</w:p>
    <w:p w:rsidR="00731F32" w:rsidRDefault="00731F32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731F32" w:rsidRDefault="00731F32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تاثير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عصاره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ھيدرو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الکلی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گياه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سنبل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الطيببرھسته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رافه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مغز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موش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صحرايی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٨۶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 w:rsidR="00BB0BF5"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45401C" w:rsidRDefault="0045401C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بهینه سازی نسبت موثر اثر اسید چرب های</w:t>
      </w:r>
      <w:r w:rsidRPr="0045401C"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آلفا لینولینیک اسید و  لینولئیک اسید   بر تکثیر و تمایز سلولهای بنیادی عصبی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94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45401C" w:rsidRDefault="0045401C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 بررسی اثر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>اشعه مادون قرمز بر ساختار بافتی شبکیه و مغز متعاقب مسمومیت با متانول در موش صحرایی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94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45401C" w:rsidRDefault="0045401C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بررسی اثرات</w:t>
      </w:r>
      <w:r w:rsidRPr="0045401C"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>اشعه مادون قرمز بر تکثیر و تمایز و اپوپتوز سلولهای هیپوکامپ بدنبال مسمومیت با متانول در موش صحرایی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94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ج</w:t>
      </w:r>
    </w:p>
    <w:p w:rsidR="0045401C" w:rsidRDefault="0045401C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بررسی مقایسه تاثیر تجویز ملاتونین </w:t>
      </w:r>
      <w:r w:rsidR="00125707"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و متیل پردنیزلون 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 w:rsidR="00125707"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بر فرایند التهابی  بازسازی میلین در مدل مولتیپل اسکلروز 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>"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93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ج</w:t>
      </w:r>
      <w:r w:rsidR="00125707"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</w:p>
    <w:p w:rsidR="00125707" w:rsidRDefault="00125707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بررسی  تاثیر درمانی عصاره هیدروالکلی شبدر قرمز بر سندروم تخمدان پلی کیستیک در موش صحرایی"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93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ج</w:t>
      </w:r>
    </w:p>
    <w:p w:rsidR="00125707" w:rsidRDefault="00125707" w:rsidP="0012570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بررسی  تاثیر درمانی عصاره هیدروالکلی شیرین بیان بر سندروم تخمدان پلی کیستیک در موش صحرایی"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93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ج</w:t>
      </w:r>
    </w:p>
    <w:p w:rsidR="00A53D84" w:rsidRDefault="00A53D84" w:rsidP="00A53D84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 xml:space="preserve"> بررسی اثر روغن قدومه  بر تکثیر و تمایز سلولهای بنیادی عصبی در محیط کشت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A53D84" w:rsidRDefault="00A53D84" w:rsidP="00A53D84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/>
          <w:b/>
          <w:bCs/>
          <w:sz w:val="23"/>
          <w:szCs w:val="23"/>
          <w:rtl/>
        </w:rPr>
      </w:pP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طرح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با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عنوان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"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 xml:space="preserve"> بررسی اثر روغن دانه گلرنگ  بر تکثیر و تمایز سلولهای بنیادی عصبی ناحیه هیپوتالاموس موش نر بالغ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"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مصوب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سال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 w:hint="cs"/>
          <w:b/>
          <w:bCs/>
          <w:sz w:val="23"/>
          <w:szCs w:val="23"/>
          <w:rtl/>
        </w:rPr>
        <w:t>95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دانشگاه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علوم</w:t>
      </w:r>
      <w:r>
        <w:rPr>
          <w:rFonts w:ascii="TimesNewRomanPS-BoldMT" w:hAnsi="TimesNewRomanPS-BoldMT" w:hint="cs"/>
          <w:b/>
          <w:bCs/>
          <w:sz w:val="23"/>
          <w:szCs w:val="23"/>
          <w:rtl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پزشکی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 New Roman"/>
          <w:b/>
          <w:bCs/>
          <w:sz w:val="23"/>
          <w:szCs w:val="23"/>
          <w:rtl/>
        </w:rPr>
        <w:t>ياسوج</w:t>
      </w:r>
    </w:p>
    <w:p w:rsidR="00125707" w:rsidRDefault="00125707" w:rsidP="00125707">
      <w:pPr>
        <w:autoSpaceDE w:val="0"/>
        <w:autoSpaceDN w:val="0"/>
        <w:adjustRightInd w:val="0"/>
        <w:spacing w:after="0"/>
        <w:rPr>
          <w:rFonts w:ascii="TimesNewRomanPS-BoldMT" w:hAnsi="TimesNewRomanPS-BoldMT"/>
          <w:b/>
          <w:bCs/>
          <w:sz w:val="23"/>
          <w:szCs w:val="23"/>
          <w:rtl/>
        </w:rPr>
      </w:pPr>
    </w:p>
    <w:p w:rsidR="00BB0BF5" w:rsidRPr="0010748C" w:rsidRDefault="00BB0BF5" w:rsidP="00BB0BF5">
      <w:pPr>
        <w:autoSpaceDE w:val="0"/>
        <w:autoSpaceDN w:val="0"/>
        <w:adjustRightInd w:val="0"/>
        <w:spacing w:after="0"/>
        <w:rPr>
          <w:rFonts w:ascii="TimesNewRomanPS-BoldMT" w:hAnsi="TimesNewRomanPS-BoldMT"/>
          <w:b/>
          <w:bCs/>
          <w:sz w:val="23"/>
          <w:szCs w:val="23"/>
          <w:rtl/>
        </w:rPr>
      </w:pPr>
    </w:p>
    <w:p w:rsidR="00731F32" w:rsidRPr="00A53D84" w:rsidRDefault="00731F32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Paper:</w:t>
      </w:r>
    </w:p>
    <w:p w:rsidR="00A53D84" w:rsidRPr="00A53D84" w:rsidRDefault="00A53D84" w:rsidP="00A53D8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Majid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Ghareghani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Kazem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Zibara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Heibatollah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Sadeghi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Shima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Dokoohaki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Hossein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Sadeghi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Roya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Aryanpour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&amp; Amir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Ghanbari.Fluvoxamine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stimulates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oligodendrogenesis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of cultured neural stem cells and attenuates inflammation and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demyelinationin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an animal model of multiple sclerosis Scientific Reports2017,  7: 4923</w:t>
      </w:r>
    </w:p>
    <w:p w:rsidR="00A53D84" w:rsidRPr="00A53D84" w:rsidRDefault="00A53D84" w:rsidP="00A53D8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Hosein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hejer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Majid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Ghareghani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Kazem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Zibara</w:t>
      </w:r>
      <w:proofErr w:type="spellEnd"/>
      <w:proofErr w:type="gram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 ,</w:t>
      </w:r>
      <w:proofErr w:type="gram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sadri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reza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Hossein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Sadeghi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Hassan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azari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&amp; Amir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. The ratio of 1/3 linoleic acid to alpha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linolenic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acid is optimal for </w:t>
      </w:r>
      <w:proofErr w:type="spellStart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oligodendrogenesis</w:t>
      </w:r>
      <w:proofErr w:type="spellEnd"/>
      <w:r w:rsidRPr="00A53D84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of embryonic neural stem cells. neuroscience Letters 2017.6.231-248</w:t>
      </w:r>
    </w:p>
    <w:p w:rsidR="008940E7" w:rsidRPr="008940E7" w:rsidRDefault="008940E7" w:rsidP="00A53D8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Amir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,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Tahereh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Esmaeilpour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Soghra Bahmanpour, Mohammad Ghasem Golmohammadi, Sharareh Sharififar &amp; Hassan Azari Depletion of neural stem cells 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lastRenderedPageBreak/>
        <w:t>from the subventricular zone of adult mouse brain using cytosine b-Arabinofuranoside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</w:t>
      </w:r>
      <w:r w:rsidRPr="008940E7">
        <w:rPr>
          <w:rFonts w:ascii="AdvPSFT-BI" w:hAnsi="AdvPSFT-BI" w:cs="AdvPSFT-BI"/>
          <w:sz w:val="15"/>
          <w:szCs w:val="15"/>
        </w:rPr>
        <w:t xml:space="preserve"> 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Brain and Behavior, 2015 319-328</w:t>
      </w:r>
    </w:p>
    <w:p w:rsidR="00EE2041" w:rsidRPr="008940E7" w:rsidRDefault="00EE2041" w:rsidP="00EE204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Azadeh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Hamedi,Amir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proofErr w:type="spellStart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Razieh</w:t>
      </w:r>
      <w:proofErr w:type="spellEnd"/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Razavipour, Vahid Saeidi, Mohammad M. Zarshenas, Maryam Sohrabpour, Hassan Azari. Alyssumhomolocarpum seeds: phytochemical analysis and effects of the seed oil on neural stem cell proliferation and differentiation. J Nat Med. 2015: 4.76-81</w:t>
      </w:r>
    </w:p>
    <w:p w:rsidR="00EE2041" w:rsidRPr="008940E7" w:rsidRDefault="00EE2041" w:rsidP="008940E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Azadeh Hamedi, Amir Ghanbari, Vahid Saeidi, Razieh Razavipour,Hassan Azari. Effects of β-sitosterol oral administration on the proliferation and differentiation of neural stem cells</w:t>
      </w:r>
      <w:r w:rsidRPr="008940E7">
        <w:rPr>
          <w:rFonts w:ascii="BookAntiqua-BoldItalic" w:hAnsi="BookAntiqua-BoldItalic" w:cs="BookAntiqua-BoldItalic" w:hint="cs"/>
          <w:b/>
          <w:bCs/>
          <w:i/>
          <w:iCs/>
          <w:sz w:val="23"/>
          <w:szCs w:val="23"/>
          <w:rtl/>
        </w:rPr>
        <w:t xml:space="preserve">. 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Journal of functional foods. 2 0 1 4, 252–258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  <w:rtl/>
        </w:rPr>
        <w:t xml:space="preserve"> </w:t>
      </w:r>
    </w:p>
    <w:p w:rsidR="00EE2041" w:rsidRDefault="00EE2041" w:rsidP="008940E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Keramatollah Abbasnia, Amir Ghanbari, Mehrnaz Abedian, Ali Ghanbari, Sharareh Sharififar,Hassan Azari. The effects of repetitive trans cranial magnetic stimulation on proliferation and differentiation of neural stem cells. acb.2015.48.2.104</w:t>
      </w:r>
    </w:p>
    <w:p w:rsidR="00EE2041" w:rsidRPr="00EE2041" w:rsidRDefault="00EE2041" w:rsidP="008940E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EE2041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Ghasem Ghalamfarsa, Mahmoud Mahmoudi, Mousa Mohammadnia-Afrouzi, Yaghoub Yazdani, Enayat Anvari, Abolghasem Hadinia, Amir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EE2041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Ghanbari, Maryam Setayesh, Mehdi Yousefi &amp; Farhad Jadidi-Niaragh IL-21 and IL-21 receptor in the immunopathogenesis of multiple 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sclerosis</w:t>
      </w:r>
      <w:r w:rsidRPr="00EE2041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JOURNAL OF IMMUNOTOXICOLOGY, 2015</w:t>
      </w:r>
      <w:r w:rsid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</w:t>
      </w:r>
      <w:r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8940E7" w:rsidRPr="008940E7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217-224</w:t>
      </w:r>
    </w:p>
    <w:p w:rsidR="00731F32" w:rsidRPr="0010748C" w:rsidRDefault="00731F32" w:rsidP="008940E7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 A, Mesbah S.F , Namavar M.R,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 Khademi B, Karbalay-doust S. C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ommunication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between External and recurrent Laryngeal Nerves in Human by Using Dissection Method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In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Shiraz Medical School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Journal of Iranian Anatomical Sciences, Vol 7, Summer 2009</w:t>
      </w:r>
      <w:r w:rsid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Pages:73-79</w:t>
      </w:r>
    </w:p>
    <w:p w:rsidR="00731F32" w:rsidRPr="0010748C" w:rsidRDefault="00731F32" w:rsidP="0010748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 A, Mesbah S.F , Namavar M.R, Khademi B, Karbalay-doust S,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Comparison of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marking change in neural cells detection protocol on superior laryngeal nerve in dog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. Amalgam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-</w:t>
      </w:r>
      <w:r w:rsidR="00DF2AC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Danish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research scientific journal of Yasuj University of medical sciences Vol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14, 2009, Pages: 57-65</w:t>
      </w:r>
    </w:p>
    <w:p w:rsidR="00731F32" w:rsidRPr="0010748C" w:rsidRDefault="00DF2ACC" w:rsidP="0010748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dini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A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, 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Aryanpour R,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Mehdizadeh M,Mahmodi R,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Mossavizadeh A,Delaviz H,Pirhajati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H,Ghnbari A, The Effect of Silybum marianum on GFAP and Spatial Memory in a MouseModel of Alzheimer's Disease, Armaghane-danesh research scientific journal of Yasuj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University of medical sciences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,</w:t>
      </w:r>
      <w:r w:rsidR="00731F32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Vol 14, 2010, Pages: 57-65</w:t>
      </w:r>
    </w:p>
    <w:p w:rsidR="00731F32" w:rsidRPr="0010748C" w:rsidRDefault="00731F32" w:rsidP="0010748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Sadeghi N,Mokhtari M,Ghnbari A,Sanaei Moghadam F,Jafari M,Sanaei Moghadam</w:t>
      </w:r>
      <w:r w:rsidR="0010748C"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Z,Rozbehi The Effect of Hydrochloric Extraction of Valerian on Number and Size of RapheMagnus Neurons in Adult Rats., Armaghane Danesh journal of yasuj University ofMedical Science,15 ,2010</w:t>
      </w:r>
    </w:p>
    <w:p w:rsidR="00731F32" w:rsidRPr="0010748C" w:rsidRDefault="00731F32" w:rsidP="0010748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Hadinia A,Hosseini SM,Ghanbari A.Aryanpour R,Sayedi F.Askarian SH The Effect ofPistacia khynjuk on Humoral Immune System of Wistar Rats, , Armaghane Danesh</w:t>
      </w:r>
      <w:r w:rsid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10748C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journal of yasuj University of Medical Science, vol 15 ,2010,378-392</w:t>
      </w:r>
    </w:p>
    <w:p w:rsidR="0010748C" w:rsidRDefault="0010748C" w:rsidP="00731F32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</w:p>
    <w:p w:rsidR="00731F32" w:rsidRDefault="00731F32" w:rsidP="0010748C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Presentation and abstracts in national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and international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congress:</w:t>
      </w:r>
    </w:p>
    <w:p w:rsidR="00731F32" w:rsidRDefault="0072386A" w:rsidP="0072386A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-  </w:t>
      </w:r>
      <w:r w:rsidR="00731F32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Mesbah Ardekani SF, Ghanbari A, Namavar MR, Karbalay- doust S, Khademi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31F32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.“Communication between external and recurrent laryngeal nerves in human by using</w:t>
      </w:r>
    </w:p>
    <w:p w:rsidR="00731F32" w:rsidRDefault="00731F32" w:rsidP="0072386A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dissection method”7th Iranian Congress of Anatomical Sciences, 10-12 May 2006, Kashan,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Iran</w:t>
      </w:r>
    </w:p>
    <w:p w:rsidR="00731F32" w:rsidRDefault="00731F32" w:rsidP="0072386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 A, Mesbah Ardekani SF, Namavar MR, Karbalay- doust S, Khademi</w:t>
      </w:r>
    </w:p>
    <w:p w:rsidR="00731F32" w:rsidRDefault="00731F32" w:rsidP="0072386A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B.“Communication between external and recurrent laryngeal nerves in dog by using HRP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tracing”7th Iranian Congress of Anatomical Sciences,10-12 May 2006, Kashan, Iran</w:t>
      </w:r>
    </w:p>
    <w:p w:rsidR="00731F32" w:rsidRPr="0072386A" w:rsidRDefault="00731F32" w:rsidP="0072386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lastRenderedPageBreak/>
        <w:t>Ghanbari A, Mesbah F, Namavar MR, Khademi B, Karbalay Doust. Anatomical</w:t>
      </w:r>
    </w:p>
    <w:p w:rsidR="00731F32" w:rsidRDefault="00731F32" w:rsidP="0072386A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localization of the of origin of afferent and efferent fibers in the laryngeal nerves of dogs: a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HRP neuron tracing study. The 5th Asia-Pacific international congress of Anatomists and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the 8th Iranian Congress of Anatomical Sciences. 16-19 May 2008. Tehran Iran.</w:t>
      </w:r>
    </w:p>
    <w:p w:rsidR="0072386A" w:rsidRDefault="00731F32" w:rsidP="0072386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Ghanbari A, Mesbah F, Namavar MR, Khademi B, Karbalay Doust. Comparing between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techniques for observing HRP tracer in the cell body after putting cutting nerve ends inside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the Horse Radish Peroxidase solution. The 5th Asia-Pacific international congress of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Anatomists and the 8th Iranian Congress of Anatomical Sciences. 16-19 May 2008. Tehran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Iran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</w:p>
    <w:p w:rsidR="0010748C" w:rsidRPr="0072386A" w:rsidRDefault="0010748C" w:rsidP="0072386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</w:pP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Hadinia A,Aryanpour R,Mehdizadeh M,Mahmodi R,Mossavizadeh A,Delaviz H,Pirhajati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H , Ghanbari A, The Effect of Silybum marianum on GFAP and Spatial Memory in a</w:t>
      </w:r>
      <w:r w:rsid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Mouse Model of Alzheimer's Disease,8th Iranian congress of anatomical sciences, 10-12</w:t>
      </w:r>
      <w:r w:rsidR="0072386A"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 xml:space="preserve"> </w:t>
      </w:r>
      <w:r w:rsidRPr="0072386A">
        <w:rPr>
          <w:rFonts w:ascii="BookAntiqua-BoldItalic" w:hAnsi="BookAntiqua-BoldItalic" w:cs="BookAntiqua-BoldItalic"/>
          <w:b/>
          <w:bCs/>
          <w:i/>
          <w:iCs/>
          <w:sz w:val="23"/>
          <w:szCs w:val="23"/>
        </w:rPr>
        <w:t>May 2010</w:t>
      </w:r>
    </w:p>
    <w:p w:rsidR="0010748C" w:rsidRPr="00C93CD6" w:rsidRDefault="0010748C" w:rsidP="0010748C">
      <w:pPr>
        <w:autoSpaceDE w:val="0"/>
        <w:autoSpaceDN w:val="0"/>
        <w:bidi w:val="0"/>
        <w:adjustRightInd w:val="0"/>
        <w:spacing w:after="0"/>
        <w:rPr>
          <w:rFonts w:ascii="BookAntiqua-BoldItalic" w:hAnsi="BookAntiqua-BoldItalic" w:cs="B Nazanin"/>
          <w:b/>
          <w:bCs/>
          <w:i/>
          <w:iCs/>
          <w:sz w:val="23"/>
          <w:szCs w:val="23"/>
        </w:rPr>
      </w:pPr>
    </w:p>
    <w:p w:rsidR="00731F32" w:rsidRPr="00C93CD6" w:rsidRDefault="00731F32" w:rsidP="008940E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مريم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بازگيريان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قنبری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موازين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شرعی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واخلاقی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اخلاق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پرستاری،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کنگره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اخلاق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مش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١٣٨۵</w:t>
      </w:r>
    </w:p>
    <w:p w:rsidR="00731F32" w:rsidRPr="00C93CD6" w:rsidRDefault="00731F32" w:rsidP="00C93CD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پروين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باقری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قنبری،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اموزش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پرستاران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خود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مراقبتي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ونقش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بود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کيفيت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خدمات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مراقبتي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از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بيماران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>,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مايش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کشوري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ايده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نو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پرستاري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 xml:space="preserve">,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١٣٨۶</w:t>
      </w:r>
    </w:p>
    <w:p w:rsidR="00731F32" w:rsidRPr="00C93CD6" w:rsidRDefault="00731F32" w:rsidP="00C93CD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  <w:rtl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قنبری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پروين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باقری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،نقص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اموزش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مقايسه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پايه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ساير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رششته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مسطح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>,</w:t>
      </w:r>
      <w:r w:rsidR="003C7EA6" w:rsidRPr="00C93CD6">
        <w:rPr>
          <w:rFonts w:ascii="BookAntiqua-BoldItalic" w:hAnsi="BookAntiqua-BoldItalic" w:cs="B Nazanin" w:hint="cs"/>
          <w:b/>
          <w:bCs/>
          <w:i/>
          <w:iCs/>
          <w:sz w:val="23"/>
          <w:szCs w:val="23"/>
          <w:rtl/>
        </w:rPr>
        <w:t xml:space="preserve">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مايش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کشوري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ايده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اي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نو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پرستاري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 xml:space="preserve">,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١٣٨۶</w:t>
      </w:r>
    </w:p>
    <w:p w:rsidR="00731F32" w:rsidRPr="00C93CD6" w:rsidRDefault="00731F32" w:rsidP="00C93CD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رزاد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جعفری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امرلله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روزب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قنبری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رويا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اريانپور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،بررسی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بحث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گرو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و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يادگيری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درس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بافت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شناسی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دانشجويان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مامايی،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مايش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اموزش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يزد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اسفند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١٣٨٧</w:t>
      </w:r>
    </w:p>
    <w:p w:rsidR="00731F32" w:rsidRPr="00C93CD6" w:rsidRDefault="00731F32" w:rsidP="00C93CD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قنبری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رزاد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جعفری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امرلله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روزب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–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رويا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اريانپور،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کاربرد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يادگيری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مشارکتی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يادگيری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اناتومی،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سمينار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روش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نوين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اموزش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تشريحی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تبريز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</w:t>
      </w:r>
      <w:r w:rsid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٨٩</w:t>
      </w:r>
    </w:p>
    <w:p w:rsidR="00731F32" w:rsidRPr="00C93CD6" w:rsidRDefault="00731F32" w:rsidP="008940E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  <w:rtl/>
        </w:rPr>
      </w:pP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شرکت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>:</w:t>
      </w:r>
    </w:p>
    <w:p w:rsidR="00731F32" w:rsidRPr="00C93CD6" w:rsidRDefault="003C7EA6" w:rsidP="00402A69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Arial" w:hAnsi="Arial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روش</w:t>
      </w:r>
      <w:r w:rsidR="00731F32"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ايی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تجزيه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وتحليل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داده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طرح</w:t>
      </w:r>
      <w:r w:rsidR="00402A69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تحقيقاتی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مرداد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٨۵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731F32" w:rsidP="008940E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اموزشی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تحقيق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کيفی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پديدار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شناسی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تير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٨۵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کاربرد 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>SPSS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تحقيقات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تير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٨۵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</w:p>
    <w:p w:rsidR="00731F32" w:rsidRPr="00C93CD6" w:rsidRDefault="00731F32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ارزيابی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درونی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وبيرونی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ريور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٨۵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اشنايی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تحقيقات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کيفی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تيرماه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٧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</w:p>
    <w:p w:rsidR="00731F32" w:rsidRPr="00C93CD6" w:rsidRDefault="00731F32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="003C7EA6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اشنايی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بانک</w:t>
      </w:r>
      <w:r w:rsidRPr="00C93CD6">
        <w:rPr>
          <w:rFonts w:ascii="Times New Roman" w:hAnsi="Times New Roman" w:cs="Times New Roman" w:hint="cs"/>
          <w:b/>
          <w:bCs/>
          <w:sz w:val="25"/>
          <w:szCs w:val="25"/>
          <w:rtl/>
        </w:rPr>
        <w:t>ھ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ای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اطلاعاتی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کتابخانه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ديجيتال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مرداد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٨٧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3"/>
          <w:szCs w:val="23"/>
        </w:rPr>
      </w:pPr>
      <w:r w:rsidRPr="00C93CD6">
        <w:rPr>
          <w:rFonts w:ascii="BookAntiqua-Bold" w:hAnsi="BookAntiqua-Bold" w:cs="B Nazanin"/>
          <w:b/>
          <w:bCs/>
          <w:sz w:val="23"/>
          <w:szCs w:val="23"/>
        </w:rPr>
        <w:t xml:space="preserve"> </w:t>
      </w:r>
      <w:r w:rsidRPr="00C93CD6">
        <w:rPr>
          <w:rFonts w:ascii="Arial" w:hAnsi="Arial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کارگاه </w:t>
      </w:r>
      <w:r w:rsidRPr="00C93CD6">
        <w:rPr>
          <w:rFonts w:ascii="BookAntiqua-Bold" w:hAnsi="BookAntiqua-Bold" w:cs="B Nazanin"/>
          <w:b/>
          <w:bCs/>
          <w:sz w:val="23"/>
          <w:szCs w:val="23"/>
        </w:rPr>
        <w:t>course plan and lessen plan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تير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٨٧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402A69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با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حيوانات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ازمايشگا</w:t>
      </w:r>
      <w:r w:rsidR="00402A69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آذر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٨٧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402A69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  <w:rtl/>
        </w:rPr>
      </w:pPr>
      <w:r w:rsidRPr="00C93CD6">
        <w:rPr>
          <w:rFonts w:ascii="Arial" w:hAnsi="Arial" w:cs="B Nazanin"/>
          <w:b/>
          <w:bCs/>
          <w:sz w:val="25"/>
          <w:szCs w:val="25"/>
        </w:rPr>
        <w:lastRenderedPageBreak/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مطالعات 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>cohort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</w:t>
      </w:r>
      <w:r w:rsidR="00402A69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من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٨٨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731F32" w:rsidRPr="00C93CD6" w:rsidRDefault="003C7EA6" w:rsidP="003C7E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  <w:rtl/>
        </w:rPr>
      </w:pPr>
      <w:r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روش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نمونه</w:t>
      </w:r>
      <w:r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گيری </w:t>
      </w:r>
      <w:r w:rsidRPr="00C93CD6">
        <w:rPr>
          <w:rFonts w:ascii="BookAntiqua-BoldItalic" w:hAnsi="BookAntiqua-BoldItalic" w:cs="B Nazanin"/>
          <w:b/>
          <w:bCs/>
          <w:i/>
          <w:iCs/>
          <w:sz w:val="23"/>
          <w:szCs w:val="23"/>
        </w:rPr>
        <w:t>sampling</w:t>
      </w:r>
      <w:r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تير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٨٨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</w:p>
    <w:p w:rsidR="00731F32" w:rsidRPr="00C93CD6" w:rsidRDefault="003C7EA6" w:rsidP="00402A69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B Nazanin"/>
          <w:b/>
          <w:bCs/>
          <w:sz w:val="25"/>
          <w:szCs w:val="25"/>
        </w:rPr>
      </w:pPr>
      <w:r w:rsidRPr="00C93CD6">
        <w:rPr>
          <w:rFonts w:ascii="Arial" w:hAnsi="Arial" w:cs="B Nazanin" w:hint="cs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مقاله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نويسی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برای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مقالات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خارجی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ارديب</w:t>
      </w:r>
      <w:r w:rsidR="00402A69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شت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٨٩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ياسوج</w:t>
      </w:r>
    </w:p>
    <w:p w:rsidR="003C7EA6" w:rsidRPr="00C93CD6" w:rsidRDefault="003C7EA6" w:rsidP="00402A69">
      <w:pPr>
        <w:spacing w:line="360" w:lineRule="auto"/>
        <w:jc w:val="both"/>
        <w:rPr>
          <w:rFonts w:cs="B Nazanin"/>
          <w:rtl/>
        </w:rPr>
      </w:pPr>
      <w:r w:rsidRPr="00C93CD6">
        <w:rPr>
          <w:rFonts w:ascii="Arial" w:hAnsi="Arial" w:cs="B Nazanin" w:hint="cs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Arial" w:hAnsi="Arial" w:cs="B Nazanin"/>
          <w:b/>
          <w:bCs/>
          <w:sz w:val="25"/>
          <w:szCs w:val="25"/>
        </w:rPr>
        <w:t xml:space="preserve">- </w:t>
      </w:r>
      <w:r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کارگاه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روش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تدريس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ب</w:t>
      </w:r>
      <w:r w:rsidR="00402A69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ه</w:t>
      </w:r>
      <w:r w:rsidR="00731F32" w:rsidRPr="00C93CD6"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من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٨٩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731F32" w:rsidRPr="00C93CD6">
        <w:rPr>
          <w:rFonts w:ascii="TimesNewRomanPS-BoldMT" w:hAnsi="TimesNewRomanPS-BoldMT" w:cs="B Nazanin"/>
          <w:b/>
          <w:bCs/>
          <w:sz w:val="25"/>
          <w:szCs w:val="25"/>
          <w:rtl/>
        </w:rPr>
        <w:t>شيراز</w:t>
      </w:r>
    </w:p>
    <w:p w:rsidR="00C93CD6" w:rsidRPr="00402A69" w:rsidRDefault="00C93CD6" w:rsidP="00C93CD6">
      <w:pPr>
        <w:spacing w:line="360" w:lineRule="auto"/>
        <w:jc w:val="both"/>
        <w:rPr>
          <w:rFonts w:cs="B Nazanin"/>
          <w:b/>
          <w:bCs/>
          <w:rtl/>
        </w:rPr>
      </w:pPr>
      <w:r w:rsidRPr="00402A69">
        <w:rPr>
          <w:rFonts w:cs="B Nazanin" w:hint="cs"/>
          <w:b/>
          <w:bCs/>
          <w:rtl/>
        </w:rPr>
        <w:t xml:space="preserve">- کارگاه آموزشی ایمنی و حفاطت در آزمایشگاه زیست </w:t>
      </w:r>
      <w:r w:rsidRPr="00402A69">
        <w:rPr>
          <w:rFonts w:ascii="Times New Roman" w:hAnsi="Times New Roman" w:cs="Times New Roman" w:hint="cs"/>
          <w:b/>
          <w:bCs/>
          <w:rtl/>
        </w:rPr>
        <w:t>–</w:t>
      </w:r>
      <w:r w:rsidRPr="00402A69">
        <w:rPr>
          <w:rFonts w:cs="B Nazanin" w:hint="cs"/>
          <w:b/>
          <w:bCs/>
          <w:rtl/>
        </w:rPr>
        <w:t xml:space="preserve"> پزشکی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شيراز</w:t>
      </w:r>
    </w:p>
    <w:p w:rsidR="00C93CD6" w:rsidRDefault="00402A69" w:rsidP="00C93CD6">
      <w:pPr>
        <w:spacing w:line="360" w:lineRule="auto"/>
        <w:jc w:val="both"/>
        <w:rPr>
          <w:rFonts w:cs="B Nazanin"/>
          <w:b/>
          <w:bCs/>
          <w:rtl/>
        </w:rPr>
      </w:pPr>
      <w:r w:rsidRPr="00402A69">
        <w:rPr>
          <w:rFonts w:cs="B Nazanin" w:hint="cs"/>
          <w:b/>
          <w:bCs/>
          <w:rtl/>
        </w:rPr>
        <w:t>-</w:t>
      </w:r>
      <w:r w:rsidR="00C93CD6" w:rsidRPr="00402A69">
        <w:rPr>
          <w:rFonts w:cs="B Nazanin" w:hint="cs"/>
          <w:b/>
          <w:bCs/>
          <w:rtl/>
        </w:rPr>
        <w:t xml:space="preserve">کارگاه آموزشی اصول تئوری و عملی وارد کردن ژن به سلولهای یوکاریوتی به دو روش الکتروپوریشن و کلسیم فسفات 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="00C93CD6"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شيراز</w:t>
      </w:r>
    </w:p>
    <w:p w:rsidR="00402A69" w:rsidRDefault="00402A69" w:rsidP="00402A69">
      <w:pPr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</w:t>
      </w:r>
      <w:r w:rsidRPr="00402A69">
        <w:rPr>
          <w:rFonts w:cs="B Nazanin" w:hint="cs"/>
          <w:b/>
          <w:bCs/>
          <w:rtl/>
        </w:rPr>
        <w:t xml:space="preserve">کارگاه آموزشی </w:t>
      </w:r>
      <w:r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جدا سازی و تکثیر سلولهای بنیادی عصبی بالغ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شيراز</w:t>
      </w:r>
    </w:p>
    <w:p w:rsidR="00BB0BF5" w:rsidRDefault="00BB0BF5" w:rsidP="00BB0BF5">
      <w:pPr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</w:t>
      </w:r>
      <w:r w:rsidRPr="00402A69">
        <w:rPr>
          <w:rFonts w:cs="B Nazanin" w:hint="cs"/>
          <w:b/>
          <w:bCs/>
          <w:rtl/>
        </w:rPr>
        <w:t xml:space="preserve">کارگاه آموزشی </w:t>
      </w:r>
      <w:r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تولید محتوی الکترونیکی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یاسوج</w:t>
      </w:r>
    </w:p>
    <w:p w:rsidR="00BB0BF5" w:rsidRPr="00402A69" w:rsidRDefault="00BB0BF5" w:rsidP="00BB0BF5">
      <w:pPr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</w:t>
      </w:r>
      <w:r w:rsidRPr="00402A69">
        <w:rPr>
          <w:rFonts w:cs="B Nazanin" w:hint="cs"/>
          <w:b/>
          <w:bCs/>
          <w:rtl/>
        </w:rPr>
        <w:t xml:space="preserve">کارگاه آموزشی </w:t>
      </w:r>
      <w:r>
        <w:rPr>
          <w:rFonts w:ascii="TimesNewRomanPS-BoldMT" w:hAnsi="TimesNewRomanPS-BoldMT" w:cs="B Nazanin" w:hint="cs"/>
          <w:b/>
          <w:bCs/>
          <w:sz w:val="25"/>
          <w:szCs w:val="25"/>
          <w:rtl/>
        </w:rPr>
        <w:t xml:space="preserve">روش های نوین آموزشی (آموزش به کمک همکلاسی)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دانشگاه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علوم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 w:rsidRPr="00402A69">
        <w:rPr>
          <w:rFonts w:ascii="TimesNewRomanPS-BoldMT" w:hAnsi="TimesNewRomanPS-BoldMT" w:cs="B Nazanin"/>
          <w:b/>
          <w:bCs/>
          <w:sz w:val="25"/>
          <w:szCs w:val="25"/>
          <w:rtl/>
        </w:rPr>
        <w:t>پزشکی</w:t>
      </w:r>
      <w:r w:rsidRPr="00402A69">
        <w:rPr>
          <w:rFonts w:ascii="TimesNewRomanPS-BoldMT" w:hAnsi="TimesNewRomanPS-BoldMT" w:cs="B Nazanin"/>
          <w:b/>
          <w:bCs/>
          <w:sz w:val="25"/>
          <w:szCs w:val="25"/>
        </w:rPr>
        <w:t xml:space="preserve"> </w:t>
      </w:r>
      <w:r>
        <w:rPr>
          <w:rFonts w:ascii="TimesNewRomanPS-BoldMT" w:hAnsi="TimesNewRomanPS-BoldMT" w:cs="B Nazanin" w:hint="cs"/>
          <w:b/>
          <w:bCs/>
          <w:sz w:val="25"/>
          <w:szCs w:val="25"/>
          <w:rtl/>
        </w:rPr>
        <w:t>یاسوج</w:t>
      </w:r>
    </w:p>
    <w:p w:rsidR="00C93CD6" w:rsidRPr="003C7EA6" w:rsidRDefault="00C93CD6" w:rsidP="003C7EA6">
      <w:pPr>
        <w:spacing w:line="360" w:lineRule="auto"/>
        <w:jc w:val="both"/>
        <w:rPr>
          <w:rtl/>
        </w:rPr>
      </w:pPr>
    </w:p>
    <w:sectPr w:rsidR="00C93CD6" w:rsidRPr="003C7EA6" w:rsidSect="00CA1F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Antiqua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FT-B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7B93"/>
    <w:multiLevelType w:val="hybridMultilevel"/>
    <w:tmpl w:val="0B38D2CA"/>
    <w:lvl w:ilvl="0" w:tplc="405A41C8">
      <w:start w:val="13"/>
      <w:numFmt w:val="bullet"/>
      <w:lvlText w:val="-"/>
      <w:lvlJc w:val="left"/>
      <w:pPr>
        <w:ind w:left="720" w:hanging="360"/>
      </w:pPr>
      <w:rPr>
        <w:rFonts w:ascii="BookAntiqua-BoldItalic" w:eastAsiaTheme="minorHAnsi" w:hAnsi="BookAntiqua-BoldItalic" w:cs="BookAntiqua-BoldItal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25CCB"/>
    <w:multiLevelType w:val="hybridMultilevel"/>
    <w:tmpl w:val="C9F2C126"/>
    <w:lvl w:ilvl="0" w:tplc="4EEAC532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32"/>
    <w:rsid w:val="000939C0"/>
    <w:rsid w:val="0010748C"/>
    <w:rsid w:val="00125707"/>
    <w:rsid w:val="0027327C"/>
    <w:rsid w:val="002A4AE4"/>
    <w:rsid w:val="003C7EA6"/>
    <w:rsid w:val="00402A69"/>
    <w:rsid w:val="0045401C"/>
    <w:rsid w:val="004545D4"/>
    <w:rsid w:val="00596AD3"/>
    <w:rsid w:val="0072386A"/>
    <w:rsid w:val="00731F32"/>
    <w:rsid w:val="008940E7"/>
    <w:rsid w:val="00A53D84"/>
    <w:rsid w:val="00BB0BF5"/>
    <w:rsid w:val="00C93CD6"/>
    <w:rsid w:val="00CA1F2A"/>
    <w:rsid w:val="00DF2ACC"/>
    <w:rsid w:val="00E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A53D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sz w:val="26"/>
      <w:szCs w:val="3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A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53D84"/>
    <w:rPr>
      <w:rFonts w:ascii="Times New Roman" w:eastAsia="Times New Roman" w:hAnsi="Times New Roman" w:cs="Courier New"/>
      <w:sz w:val="26"/>
      <w:szCs w:val="30"/>
      <w:lang w:bidi="ar-SA"/>
    </w:rPr>
  </w:style>
  <w:style w:type="character" w:customStyle="1" w:styleId="publication-meta-journal">
    <w:name w:val="publication-meta-journal"/>
    <w:rsid w:val="00A53D84"/>
  </w:style>
  <w:style w:type="paragraph" w:styleId="BalloonText">
    <w:name w:val="Balloon Text"/>
    <w:basedOn w:val="Normal"/>
    <w:link w:val="BalloonTextChar"/>
    <w:uiPriority w:val="99"/>
    <w:semiHidden/>
    <w:unhideWhenUsed/>
    <w:rsid w:val="0009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A53D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sz w:val="26"/>
      <w:szCs w:val="3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A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53D84"/>
    <w:rPr>
      <w:rFonts w:ascii="Times New Roman" w:eastAsia="Times New Roman" w:hAnsi="Times New Roman" w:cs="Courier New"/>
      <w:sz w:val="26"/>
      <w:szCs w:val="30"/>
      <w:lang w:bidi="ar-SA"/>
    </w:rPr>
  </w:style>
  <w:style w:type="character" w:customStyle="1" w:styleId="publication-meta-journal">
    <w:name w:val="publication-meta-journal"/>
    <w:rsid w:val="00A53D84"/>
  </w:style>
  <w:style w:type="paragraph" w:styleId="BalloonText">
    <w:name w:val="Balloon Text"/>
    <w:basedOn w:val="Normal"/>
    <w:link w:val="BalloonTextChar"/>
    <w:uiPriority w:val="99"/>
    <w:semiHidden/>
    <w:unhideWhenUsed/>
    <w:rsid w:val="0009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57F7-C8A8-4C1F-B3B6-2E89F800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</cp:lastModifiedBy>
  <cp:revision>8</cp:revision>
  <dcterms:created xsi:type="dcterms:W3CDTF">2016-03-09T17:06:00Z</dcterms:created>
  <dcterms:modified xsi:type="dcterms:W3CDTF">2018-01-07T20:31:00Z</dcterms:modified>
</cp:coreProperties>
</file>